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E0" w:rsidRPr="009404B8" w:rsidRDefault="00E07F7B" w:rsidP="00BC60A7">
      <w:pPr>
        <w:spacing w:line="560" w:lineRule="exact"/>
        <w:rPr>
          <w:rFonts w:ascii="仿宋_GB2312" w:eastAsia="仿宋_GB2312" w:hAnsi="仿宋"/>
          <w:sz w:val="30"/>
          <w:szCs w:val="30"/>
        </w:rPr>
      </w:pPr>
      <w:r w:rsidRPr="009404B8">
        <w:rPr>
          <w:rFonts w:ascii="仿宋_GB2312" w:eastAsia="仿宋_GB2312" w:hAnsi="仿宋" w:hint="eastAsia"/>
          <w:sz w:val="30"/>
          <w:szCs w:val="30"/>
        </w:rPr>
        <w:t>附件2</w:t>
      </w:r>
    </w:p>
    <w:p w:rsidR="009404B8" w:rsidRPr="009404B8" w:rsidRDefault="00721978" w:rsidP="00BC60A7">
      <w:pPr>
        <w:pStyle w:val="2"/>
        <w:spacing w:before="0" w:after="0" w:line="560" w:lineRule="exact"/>
        <w:jc w:val="center"/>
        <w:rPr>
          <w:rFonts w:ascii="方正小标宋_GBK" w:eastAsia="方正小标宋_GBK" w:hAnsi="方正小标宋_GBK"/>
          <w:b w:val="0"/>
        </w:rPr>
      </w:pPr>
      <w:r w:rsidRPr="00721978">
        <w:rPr>
          <w:rFonts w:ascii="方正小标宋_GBK" w:eastAsia="方正小标宋_GBK" w:hAnsi="方正小标宋_GBK" w:hint="eastAsia"/>
          <w:b w:val="0"/>
        </w:rPr>
        <w:t>艺术展演与活动</w:t>
      </w:r>
      <w:r w:rsidR="009404B8" w:rsidRPr="009404B8">
        <w:rPr>
          <w:rFonts w:ascii="方正小标宋_GBK" w:eastAsia="方正小标宋_GBK" w:hAnsi="方正小标宋_GBK" w:hint="eastAsia"/>
          <w:b w:val="0"/>
        </w:rPr>
        <w:t>奖项参考目录</w:t>
      </w:r>
      <w:bookmarkStart w:id="0" w:name="_GoBack"/>
      <w:bookmarkEnd w:id="0"/>
    </w:p>
    <w:p w:rsidR="009404B8" w:rsidRPr="009404B8" w:rsidRDefault="009404B8" w:rsidP="00BC60A7">
      <w:pPr>
        <w:spacing w:line="560" w:lineRule="exact"/>
        <w:rPr>
          <w:rFonts w:ascii="仿宋_GB2312" w:eastAsia="仿宋_GB2312" w:hAnsi="仿宋"/>
          <w:b/>
          <w:szCs w:val="21"/>
        </w:rPr>
      </w:pPr>
      <w:r w:rsidRPr="009404B8">
        <w:rPr>
          <w:rFonts w:ascii="仿宋_GB2312" w:eastAsia="仿宋_GB2312" w:hAnsi="仿宋" w:hint="eastAsia"/>
          <w:b/>
          <w:szCs w:val="21"/>
        </w:rPr>
        <w:t>注：本目录为参考目录，可按照</w:t>
      </w:r>
      <w:proofErr w:type="gramStart"/>
      <w:r w:rsidRPr="009404B8">
        <w:rPr>
          <w:rFonts w:ascii="仿宋_GB2312" w:eastAsia="仿宋_GB2312" w:hAnsi="仿宋" w:hint="eastAsia"/>
          <w:b/>
          <w:szCs w:val="21"/>
        </w:rPr>
        <w:t>展演赛事</w:t>
      </w:r>
      <w:proofErr w:type="gramEnd"/>
      <w:r w:rsidRPr="009404B8">
        <w:rPr>
          <w:rFonts w:ascii="仿宋_GB2312" w:eastAsia="仿宋_GB2312" w:hAnsi="仿宋" w:hint="eastAsia"/>
          <w:b/>
          <w:szCs w:val="21"/>
        </w:rPr>
        <w:t>的更新进行调整，对未列入目录的相关</w:t>
      </w:r>
      <w:proofErr w:type="gramStart"/>
      <w:r w:rsidRPr="009404B8">
        <w:rPr>
          <w:rFonts w:ascii="仿宋_GB2312" w:eastAsia="仿宋_GB2312" w:hAnsi="仿宋" w:hint="eastAsia"/>
          <w:b/>
          <w:szCs w:val="21"/>
        </w:rPr>
        <w:t>展演赛事</w:t>
      </w:r>
      <w:proofErr w:type="gramEnd"/>
      <w:r w:rsidRPr="009404B8">
        <w:rPr>
          <w:rFonts w:ascii="仿宋_GB2312" w:eastAsia="仿宋_GB2312" w:hAnsi="仿宋" w:hint="eastAsia"/>
          <w:b/>
          <w:szCs w:val="21"/>
        </w:rPr>
        <w:t>应参照本目录的相应分级原则进行认定。</w:t>
      </w:r>
    </w:p>
    <w:tbl>
      <w:tblPr>
        <w:tblpPr w:leftFromText="180" w:rightFromText="180" w:vertAnchor="text" w:horzAnchor="page" w:tblpX="1375" w:tblpY="305"/>
        <w:tblOverlap w:val="never"/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965"/>
        <w:gridCol w:w="529"/>
        <w:gridCol w:w="540"/>
        <w:gridCol w:w="75"/>
        <w:gridCol w:w="30"/>
        <w:gridCol w:w="1349"/>
        <w:gridCol w:w="1550"/>
        <w:gridCol w:w="3532"/>
      </w:tblGrid>
      <w:tr w:rsidR="009404B8" w:rsidRPr="009404B8" w:rsidTr="00BC60A7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left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A类赛事</w:t>
            </w:r>
          </w:p>
        </w:tc>
      </w:tr>
      <w:tr w:rsidR="009404B8" w:rsidRPr="009404B8" w:rsidTr="00BC60A7">
        <w:tc>
          <w:tcPr>
            <w:tcW w:w="5000" w:type="pct"/>
            <w:gridSpan w:val="9"/>
            <w:tcBorders>
              <w:top w:val="single" w:sz="4" w:space="0" w:color="auto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国家级政府奖赛事</w:t>
            </w:r>
          </w:p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（依据中共中央宣传部《全国性文艺新闻出版评奖管理办法》发布的奖项等）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“五个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一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工程”奖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中共中央宣传部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国家舞台艺术精品创作扶持工程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文化和旅游部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中国艺术节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文化和旅游部及所在省市人民政府</w:t>
            </w:r>
          </w:p>
        </w:tc>
      </w:tr>
      <w:tr w:rsidR="009404B8" w:rsidRPr="009404B8" w:rsidTr="00BC60A7">
        <w:trPr>
          <w:trHeight w:val="152"/>
        </w:trPr>
        <w:tc>
          <w:tcPr>
            <w:tcW w:w="444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81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中国文化艺术政府奖</w:t>
            </w:r>
          </w:p>
        </w:tc>
        <w:tc>
          <w:tcPr>
            <w:tcW w:w="287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文华奖</w:t>
            </w:r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文华大奖（从获文华新剧目奖的剧目中产生）</w:t>
            </w:r>
          </w:p>
        </w:tc>
        <w:tc>
          <w:tcPr>
            <w:tcW w:w="1876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文化和旅游部</w:t>
            </w:r>
          </w:p>
        </w:tc>
      </w:tr>
      <w:tr w:rsidR="009404B8" w:rsidRPr="009404B8" w:rsidTr="00BC60A7">
        <w:trPr>
          <w:trHeight w:val="152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文华剧目奖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10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773" w:type="pct"/>
            <w:gridSpan w:val="3"/>
            <w:vMerge w:val="restar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文华节目奖（文化节目创作奖、文化节目表演奖）</w:t>
            </w: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全国舞蹈展演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10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3" w:type="pct"/>
            <w:gridSpan w:val="3"/>
            <w:vMerge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全国器乐展演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9404B8" w:rsidRPr="009404B8" w:rsidTr="00BC60A7">
        <w:trPr>
          <w:trHeight w:val="10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73" w:type="pct"/>
            <w:gridSpan w:val="3"/>
            <w:vMerge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全国声乐展演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3" w:type="pct"/>
            <w:gridSpan w:val="3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文华单项奖（从获文华大奖、文华新剧目奖的</w:t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lastRenderedPageBreak/>
              <w:t>剧目中产生）</w:t>
            </w: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lastRenderedPageBreak/>
              <w:t>文华剧作奖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3" w:type="pct"/>
            <w:gridSpan w:val="3"/>
            <w:vMerge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文华导演奖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73" w:type="pct"/>
            <w:gridSpan w:val="3"/>
            <w:vMerge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文华编导奖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73" w:type="pct"/>
            <w:gridSpan w:val="3"/>
            <w:vMerge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文华音乐创</w:t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lastRenderedPageBreak/>
              <w:t>作奖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73" w:type="pct"/>
            <w:gridSpan w:val="3"/>
            <w:vMerge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文华舞台美术奖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73" w:type="pct"/>
            <w:gridSpan w:val="3"/>
            <w:vMerge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文华表演奖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9404B8" w:rsidRPr="009404B8" w:rsidTr="00BC60A7"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884" w:type="pct"/>
            <w:gridSpan w:val="5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群星奖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87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动漫奖</w:t>
            </w:r>
            <w:proofErr w:type="gramEnd"/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最佳动漫作品</w:t>
            </w:r>
            <w:proofErr w:type="gramEnd"/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最佳动漫创作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者或团队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最佳动漫教育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机构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最佳动漫国际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市场开拓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最佳动漫技术</w:t>
            </w:r>
            <w:proofErr w:type="gramEnd"/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5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1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597" w:type="pct"/>
            <w:gridSpan w:val="4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最佳动漫形象</w:t>
            </w:r>
            <w:proofErr w:type="gramEnd"/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中国话剧（戏剧）“金狮奖”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中共中央宣传部、文化和旅游部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中国美术奖（全国美术作品展）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音乐金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钟奖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中国舞蹈荷花奖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中国书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法兰亭奖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中国戏剧奖 （戏剧梅花奖、曹禺戏剧奖合并）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大众电影百花奖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中国电影金鸡奖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中国摄影金像奖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中国电视金鹰奖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中国动画金猴奖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国家新闻出版广电总局</w:t>
            </w:r>
          </w:p>
        </w:tc>
      </w:tr>
      <w:tr w:rsidR="009404B8" w:rsidRPr="009404B8" w:rsidTr="00BC60A7">
        <w:tc>
          <w:tcPr>
            <w:tcW w:w="444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608" w:type="pct"/>
            <w:gridSpan w:val="3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中国广播影视大奖</w:t>
            </w:r>
          </w:p>
        </w:tc>
        <w:tc>
          <w:tcPr>
            <w:tcW w:w="1557" w:type="pct"/>
            <w:gridSpan w:val="3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中国电影华表奖</w:t>
            </w:r>
          </w:p>
        </w:tc>
        <w:tc>
          <w:tcPr>
            <w:tcW w:w="1876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国家广播电视总局</w:t>
            </w:r>
          </w:p>
        </w:tc>
      </w:tr>
      <w:tr w:rsidR="009404B8" w:rsidRPr="009404B8" w:rsidTr="00BC60A7"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557" w:type="pct"/>
            <w:gridSpan w:val="3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中国电视剧飞天奖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557" w:type="pct"/>
            <w:gridSpan w:val="3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中国电视文艺星光奖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中国优秀工业设计奖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工业和信息化部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中国专利奖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国家知识产权局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全国青年美术作品展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中国“互联网+”大学生创新创业大赛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教育部、中央统战部、中央网络安全和信息化委员会办公室、国家发展和改革委员会等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“挑战杯”全国大学生课外学术科技作品竞赛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共青团中央、中国科学技术协会、教育部、中国社会科学院、全国学联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“挑战杯”中国大学生创业计划竞赛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共青团中央、中国科协、教育部、中国社会科学院、全国学联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全国大学生艺术展演（集体项目）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中美青年</w:t>
            </w:r>
            <w:proofErr w:type="gramStart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创客大赛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</w:t>
            </w:r>
          </w:p>
        </w:tc>
      </w:tr>
      <w:tr w:rsidR="009404B8" w:rsidRPr="009404B8" w:rsidTr="00BC60A7">
        <w:trPr>
          <w:trHeight w:val="341"/>
        </w:trPr>
        <w:tc>
          <w:tcPr>
            <w:tcW w:w="5000" w:type="pct"/>
            <w:gridSpan w:val="9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国际级A类赛事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4042" w:type="pct"/>
            <w:gridSpan w:val="7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参照最近年限文化和旅游部发布的《文化部关于国际艺术比赛获奖选手奖励办法的通知》内容的</w:t>
            </w: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A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类赛事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val="pl-PL"/>
              </w:rPr>
              <w:t>（音乐、舞蹈等表演类）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意大利威尼斯双年展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威尼斯双年展组委会</w:t>
            </w:r>
          </w:p>
        </w:tc>
      </w:tr>
      <w:tr w:rsidR="009404B8" w:rsidRPr="009404B8" w:rsidTr="00BC60A7">
        <w:trPr>
          <w:trHeight w:val="329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巴西圣保罗双年展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巴西圣保罗双年展组委会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美国惠特尼双年展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美国惠特尼美术馆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德国卡塞尔文献展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德国卡塞尔文献展组委会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德国IF设计奖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德国IF奖</w:t>
            </w:r>
            <w:r w:rsidRPr="009404B8">
              <w:rPr>
                <w:rFonts w:hint="eastAsia"/>
              </w:rPr>
              <w:fldChar w:fldCharType="begin"/>
            </w:r>
            <w:r w:rsidRPr="009404B8">
              <w:rPr>
                <w:rFonts w:ascii="仿宋_GB2312" w:eastAsia="仿宋_GB2312" w:hint="eastAsia"/>
              </w:rPr>
              <w:instrText xml:space="preserve"> HYPERLINK "http://baike.sogou.com/lemma/ShowInnerLink.htm?lemmaId=132079&amp;ss_c=ssc.citiao.link" \t "_blank" </w:instrText>
            </w:r>
            <w:r w:rsidRPr="009404B8">
              <w:rPr>
                <w:rFonts w:hint="eastAsia"/>
              </w:rPr>
              <w:fldChar w:fldCharType="separate"/>
            </w:r>
            <w:r w:rsidRPr="009404B8">
              <w:rPr>
                <w:rStyle w:val="a9"/>
                <w:rFonts w:ascii="仿宋_GB2312" w:eastAsia="仿宋_GB2312" w:hAnsiTheme="minorEastAsia" w:hint="eastAsia"/>
                <w:color w:val="auto"/>
                <w:sz w:val="24"/>
                <w:szCs w:val="24"/>
                <w:u w:val="none"/>
              </w:rPr>
              <w:t>汉诺威</w:t>
            </w:r>
            <w:r w:rsidRPr="009404B8">
              <w:rPr>
                <w:rStyle w:val="a9"/>
                <w:rFonts w:ascii="仿宋_GB2312" w:eastAsia="仿宋_GB2312" w:hAnsiTheme="minorEastAsia" w:hint="eastAsia"/>
                <w:color w:val="auto"/>
                <w:sz w:val="24"/>
                <w:szCs w:val="24"/>
                <w:u w:val="none"/>
              </w:rPr>
              <w:fldChar w:fldCharType="end"/>
            </w:r>
            <w:hyperlink r:id="rId7" w:tgtFrame="_blank" w:history="1">
              <w:r w:rsidRPr="009404B8">
                <w:rPr>
                  <w:rStyle w:val="a9"/>
                  <w:rFonts w:ascii="仿宋_GB2312" w:eastAsia="仿宋_GB2312" w:hAnsiTheme="minorEastAsia" w:hint="eastAsia"/>
                  <w:color w:val="auto"/>
                  <w:sz w:val="24"/>
                  <w:szCs w:val="24"/>
                  <w:u w:val="none"/>
                </w:rPr>
                <w:t>工业设计</w:t>
              </w:r>
            </w:hyperlink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论坛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德国红点奖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德国威斯特法伦北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威设计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中心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美国IDEA奖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美国商业周刊（BusinessWeek）、美国工业设计师协会IDSA（Industrial Designers Society of America）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日本G-MARK奖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日本工业设计促进组织(Japan </w:t>
            </w:r>
            <w:proofErr w:type="spell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IndustrialDesign</w:t>
            </w:r>
            <w:proofErr w:type="spell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 Promotion Organization）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IIDA室内设计大赛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国际室内设计协会（IIDA）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美国建筑</w:t>
            </w:r>
            <w:proofErr w:type="gramStart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大师奖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proofErr w:type="spellStart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Farmani</w:t>
            </w:r>
            <w:proofErr w:type="spellEnd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集团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proofErr w:type="spellStart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Dezeen</w:t>
            </w:r>
            <w:proofErr w:type="spellEnd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 Awards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英国著名设计媒体</w:t>
            </w:r>
            <w:proofErr w:type="spellStart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Dezeen</w:t>
            </w:r>
            <w:proofErr w:type="spellEnd"/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proofErr w:type="gramStart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安妮奖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国际动画电影协会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奥斯卡金像奖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美国电影艺术与科学学院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威尼斯国际电影节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威尼斯国际电影节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柏林国际电影节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柏林艺术展出有限公司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戛纳国际电影节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法国工业部和商业部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上海国际电影节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上海国际电影节组委会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世界技能大赛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世界技能组织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索尼世界摄影奖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世界摄影组织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世界新闻摄影大赛（荷赛）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世界新闻摄影大赛组委会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left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:rsidR="009404B8" w:rsidRPr="009404B8" w:rsidRDefault="009404B8" w:rsidP="00BC60A7">
            <w:pPr>
              <w:spacing w:line="560" w:lineRule="exact"/>
              <w:jc w:val="left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B类赛事</w:t>
            </w:r>
          </w:p>
        </w:tc>
      </w:tr>
      <w:tr w:rsidR="009404B8" w:rsidRPr="009404B8" w:rsidTr="00BC60A7">
        <w:trPr>
          <w:trHeight w:val="341"/>
        </w:trPr>
        <w:tc>
          <w:tcPr>
            <w:tcW w:w="5000" w:type="pct"/>
            <w:gridSpan w:val="9"/>
            <w:tcBorders>
              <w:top w:val="single" w:sz="4" w:space="0" w:color="auto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b/>
                <w:sz w:val="24"/>
                <w:szCs w:val="24"/>
              </w:rPr>
              <w:t>国家级一类赛事（B1）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rPr>
          <w:trHeight w:val="457"/>
        </w:trPr>
        <w:tc>
          <w:tcPr>
            <w:tcW w:w="444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624" w:type="pct"/>
            <w:gridSpan w:val="4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文华艺术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院校奖</w:t>
            </w:r>
            <w:proofErr w:type="gramEnd"/>
          </w:p>
        </w:tc>
        <w:tc>
          <w:tcPr>
            <w:tcW w:w="1541" w:type="pct"/>
            <w:gridSpan w:val="2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</w:t>
            </w:r>
            <w:r w:rsidRPr="009404B8">
              <w:rPr>
                <w:rFonts w:ascii="仿宋_GB2312" w:eastAsia="仿宋_GB2312" w:hint="eastAsia"/>
              </w:rPr>
              <w:fldChar w:fldCharType="begin"/>
            </w:r>
            <w:r w:rsidRPr="009404B8">
              <w:rPr>
                <w:rFonts w:ascii="仿宋_GB2312" w:eastAsia="仿宋_GB2312" w:hint="eastAsia"/>
              </w:rPr>
              <w:instrText xml:space="preserve"> HYPERLINK "https://baike.sogou.com/lemma/ShowInnerLink.htm?lemmaId=7845747&amp;ss_c=ssc.citiao.link" \t "https://baike.sogou.com/_blank" </w:instrText>
            </w:r>
            <w:r w:rsidRPr="009404B8">
              <w:rPr>
                <w:rFonts w:ascii="仿宋_GB2312" w:eastAsia="仿宋_GB2312" w:hint="eastAsia"/>
              </w:rPr>
              <w:fldChar w:fldCharType="separate"/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桃李杯</w:t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fldChar w:fldCharType="end"/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”舞蹈展演</w:t>
            </w:r>
          </w:p>
        </w:tc>
        <w:tc>
          <w:tcPr>
            <w:tcW w:w="1876" w:type="pct"/>
            <w:vMerge w:val="restar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文化和旅游部</w:t>
            </w:r>
          </w:p>
        </w:tc>
      </w:tr>
      <w:tr w:rsidR="009404B8" w:rsidRPr="009404B8" w:rsidTr="00BC60A7">
        <w:trPr>
          <w:trHeight w:val="367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624" w:type="pct"/>
            <w:gridSpan w:val="4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41" w:type="pct"/>
            <w:gridSpan w:val="2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全国青少年小提琴演奏展演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292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624" w:type="pct"/>
            <w:gridSpan w:val="4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全国青少年民族乐器演奏展演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90"/>
        </w:trPr>
        <w:tc>
          <w:tcPr>
            <w:tcW w:w="444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513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624" w:type="pct"/>
            <w:gridSpan w:val="4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541" w:type="pct"/>
            <w:gridSpan w:val="2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全国青少年钢琴演奏展演</w:t>
            </w:r>
          </w:p>
        </w:tc>
        <w:tc>
          <w:tcPr>
            <w:tcW w:w="1876" w:type="pct"/>
            <w:vMerge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中国音乐小金钟奖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中国音乐家协会等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CCTV民族器乐大赛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中国中央电视台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CBDF国际标准舞赛事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中国舞蹈家协会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IDSF 国标舞大赛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国家体育总局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WDSF世界体育舞蹈锦标赛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国家体育总局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全军美术作品展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文化和旅游部、中央军委政治工作部、中国美术家协会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全国体育美术作品展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国家体育总局、中国美术家协会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全国职业院校技能大赛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sz w:val="24"/>
                <w:szCs w:val="24"/>
              </w:rPr>
              <w:t>教育部、文化和旅游部等部委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全国工艺美术作品展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世界技能大赛中国选拔赛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世界技能大赛中国组委会</w:t>
            </w:r>
          </w:p>
        </w:tc>
      </w:tr>
      <w:tr w:rsidR="009404B8" w:rsidRPr="009404B8" w:rsidTr="00BC60A7">
        <w:trPr>
          <w:trHeight w:val="114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全国大学生艺术展演（个人项目）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全国中国画作品展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中国油画展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中国油画学会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全国版画作品展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全国壁画作品展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全国漆画展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全国书法篆刻作品展览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中国书法家协会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中国创新设计</w:t>
            </w:r>
            <w:proofErr w:type="gramStart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红星奖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72197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hyperlink r:id="rId8" w:history="1">
              <w:r w:rsidR="009404B8" w:rsidRPr="00BC60A7">
                <w:rPr>
                  <w:rFonts w:ascii="仿宋_GB2312" w:eastAsia="仿宋_GB2312" w:hAnsiTheme="minorEastAsia" w:cs="Times New Roman" w:hint="eastAsia"/>
                  <w:sz w:val="24"/>
                  <w:szCs w:val="24"/>
                </w:rPr>
                <w:t>中国工业设计协会</w:t>
              </w:r>
            </w:hyperlink>
            <w:r w:rsidR="009404B8"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</w:t>
            </w:r>
            <w:hyperlink r:id="rId9" w:history="1">
              <w:r w:rsidR="009404B8" w:rsidRPr="00BC60A7">
                <w:rPr>
                  <w:rFonts w:ascii="仿宋_GB2312" w:eastAsia="仿宋_GB2312" w:hAnsiTheme="minorEastAsia" w:cs="Times New Roman" w:hint="eastAsia"/>
                  <w:sz w:val="24"/>
                  <w:szCs w:val="24"/>
                </w:rPr>
                <w:t>北京工业设计促进中心</w:t>
              </w:r>
            </w:hyperlink>
            <w:r w:rsidR="009404B8"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</w:t>
            </w:r>
            <w:hyperlink r:id="rId10" w:history="1">
              <w:r w:rsidR="009404B8" w:rsidRPr="00BC60A7">
                <w:rPr>
                  <w:rFonts w:ascii="仿宋_GB2312" w:eastAsia="仿宋_GB2312" w:hAnsiTheme="minorEastAsia" w:cs="Times New Roman" w:hint="eastAsia"/>
                  <w:sz w:val="24"/>
                  <w:szCs w:val="24"/>
                </w:rPr>
                <w:t>国务院发展研究中心</w:t>
              </w:r>
            </w:hyperlink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上海电视节白玉兰奖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国家广播电视总局</w:t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、上海</w:t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广播电视局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“中华诵”经典诵读行动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教育部、国家语委、中央文明办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全国摄影艺术展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中国文学艺术界联合会、中国摄影家协会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“夏衍杯”优秀文学剧本奖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国家广电新闻出版总局电影局、国家广电新闻出版总局电影剧本中心、中国夏衍电影学会</w:t>
            </w:r>
          </w:p>
        </w:tc>
      </w:tr>
      <w:tr w:rsidR="009404B8" w:rsidRPr="009404B8" w:rsidTr="00BC60A7">
        <w:trPr>
          <w:trHeight w:val="341"/>
        </w:trPr>
        <w:tc>
          <w:tcPr>
            <w:tcW w:w="5000" w:type="pct"/>
            <w:gridSpan w:val="9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国际级B类赛事（B1）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4042" w:type="pct"/>
            <w:gridSpan w:val="7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参照最近年限文化和旅游部发布的《文化部关于国际艺术比赛获奖选手奖励办法的通知》内容的B类赛事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val="pl-PL"/>
              </w:rPr>
              <w:t>（音乐、舞蹈等表演类）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4042" w:type="pct"/>
            <w:gridSpan w:val="7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国际A类电影节（不包含威尼斯国际电影节、戛纳国际电影节、柏林国际电影节及上海国际电影节）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北京国际双年展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北京国际双年展组委会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上海国际双年展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上海国际双年展组委会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广州国际双年展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广州国际双年展组委会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英国皇家肖像年度展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英国皇家雕塑协会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意大利 A' Design Award设计大奖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A' Design Award组委会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意大利金</w:t>
            </w:r>
            <w:proofErr w:type="gramStart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圆规奖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米兰拉里纳契纳百货公司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意大利米兰设计周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意大利米兰设计周组委会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AZ Awards奖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加拿大《AZURE》杂志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FX国际室内设计大奖赛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FX杂志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英国D&amp;AD 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英国设计与艺术指导协会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世界最美的书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德国图书艺术基金会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亚太区室内设计大奖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香港室内设计协（IDA）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“丝绸之路”欧亚国际艺术节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sz w:val="24"/>
                <w:szCs w:val="24"/>
              </w:rPr>
              <w:t>圣彼得堡政府青年政策与社会组织关系委员会、圣彼得堡政府文化委员会、圣彼得堡政府教育委员会、圣彼得堡音乐家协会和作曲家协会、</w:t>
            </w:r>
            <w:r w:rsidRPr="00BC60A7">
              <w:rPr>
                <w:rFonts w:ascii="仿宋_GB2312" w:eastAsia="仿宋_GB2312" w:hAnsiTheme="minorEastAsia" w:cs="宋体" w:hint="eastAsia"/>
                <w:sz w:val="24"/>
                <w:szCs w:val="24"/>
              </w:rPr>
              <w:fldChar w:fldCharType="begin"/>
            </w:r>
            <w:r w:rsidRPr="00BC60A7">
              <w:rPr>
                <w:rFonts w:ascii="仿宋_GB2312" w:eastAsia="仿宋_GB2312" w:hAnsiTheme="minorEastAsia" w:cs="宋体" w:hint="eastAsia"/>
                <w:sz w:val="24"/>
                <w:szCs w:val="24"/>
              </w:rPr>
              <w:instrText xml:space="preserve"> HYPERLINK "https://baike.sogou.com/lemma/ShowInnerLink.htm?lemmaId=8026530&amp;ss_c=ssc.citiao.link" \t "https://baike.sogou.com/_blank" </w:instrText>
            </w:r>
            <w:r w:rsidRPr="00BC60A7">
              <w:rPr>
                <w:rFonts w:ascii="仿宋_GB2312" w:eastAsia="仿宋_GB2312" w:hAnsiTheme="minorEastAsia" w:cs="宋体" w:hint="eastAsia"/>
                <w:sz w:val="24"/>
                <w:szCs w:val="24"/>
              </w:rPr>
              <w:fldChar w:fldCharType="separate"/>
            </w:r>
            <w:r w:rsidRPr="00BC60A7">
              <w:rPr>
                <w:rFonts w:hAnsiTheme="minorEastAsia" w:hint="eastAsia"/>
              </w:rPr>
              <w:t>俄罗斯国立赫尔</w:t>
            </w:r>
            <w:proofErr w:type="gramStart"/>
            <w:r w:rsidRPr="00BC60A7">
              <w:rPr>
                <w:rFonts w:hAnsiTheme="minorEastAsia" w:hint="eastAsia"/>
              </w:rPr>
              <w:t>岑</w:t>
            </w:r>
            <w:proofErr w:type="gramEnd"/>
            <w:r w:rsidRPr="00BC60A7">
              <w:rPr>
                <w:rFonts w:hAnsiTheme="minorEastAsia" w:hint="eastAsia"/>
              </w:rPr>
              <w:t>师范大学</w:t>
            </w:r>
            <w:r w:rsidRPr="00BC60A7">
              <w:rPr>
                <w:rFonts w:hAnsiTheme="minorEastAsia" w:hint="eastAsia"/>
              </w:rPr>
              <w:fldChar w:fldCharType="end"/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克利夫兰国际钢琴比赛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克利夫兰国际钢琴比赛组委会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弗朗兹·李斯特国际青少年音乐周钢琴大赛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匈牙利佩奇市政府、匈牙利弗朗茨·李斯特协会、匈牙利柯达伊协会、匈牙利佩奇大学音乐与视觉艺术学院、弗朗茨·李斯特国际青少年音乐周组委会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International 世界锦标赛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International 世界锦标赛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全英舞蹈公开赛(UK Open Championships)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全英舞蹈公开赛(UK Open Championships)组委会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德意志国际标准舞公开赛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德意志国际标准舞公开赛组委会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英国黑池舞蹈节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英国黑池舞蹈节组委会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国家地理年度自然摄影比赛( National Geographic Nature Photographer of the Year )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美国国家地理学会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 xml:space="preserve">哈苏国际摄影奖( Hasselblad Foundation International Award in Photography ) 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哈苏基金会</w:t>
            </w:r>
          </w:p>
        </w:tc>
      </w:tr>
      <w:tr w:rsidR="009404B8" w:rsidRPr="009404B8" w:rsidTr="00BC60A7">
        <w:trPr>
          <w:trHeight w:val="341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奥地利超级摄影巡回赛（TRIERENBERG SUPER CIRCUIT，简称“奥赛”）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奥地利超级摄影学会</w:t>
            </w:r>
          </w:p>
        </w:tc>
      </w:tr>
      <w:tr w:rsidR="009404B8" w:rsidRPr="009404B8" w:rsidTr="00BC60A7">
        <w:tc>
          <w:tcPr>
            <w:tcW w:w="5000" w:type="pct"/>
            <w:gridSpan w:val="9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国家级二类赛事（B2）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中国百家金陵画展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中国美术家协会、江苏省政府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“江南如画”油画展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中国油画学会、苏州市政府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悲鸿风度·中国油画双年展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中国美术家协会、江苏省文化和旅游厅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全国综合材料绘画双年展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中国美术家协会、浙江省文学艺术界联合会、中共宁波市委宣传部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“子恺杯”中国漫画大展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中国美术家协会、桐乡市人民政府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中国设计大展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文化和旅游部、深圳市人民政府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全国公共机构节能宣传作品大赛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国家机关事务管理局、教育部、共青团中央、国家粮食局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IDEA-TOPS 艾特奖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中国建筑室内设计行业门户网站、清华大学美术学院、中央美术学院、天津美术学院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77F9D">
              <w:rPr>
                <w:rFonts w:ascii="仿宋_GB2312" w:eastAsia="仿宋_GB2312" w:hAnsiTheme="minorEastAsia" w:hint="eastAsia"/>
                <w:sz w:val="24"/>
                <w:szCs w:val="24"/>
              </w:rPr>
              <w:t>中国设计智造大奖</w:t>
            </w:r>
          </w:p>
        </w:tc>
        <w:tc>
          <w:tcPr>
            <w:tcW w:w="1876" w:type="pct"/>
            <w:vAlign w:val="center"/>
          </w:tcPr>
          <w:p w:rsidR="009404B8" w:rsidRPr="00BC60A7" w:rsidRDefault="0072197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hyperlink r:id="rId11" w:history="1">
              <w:r w:rsidR="009404B8" w:rsidRPr="00B77F9D">
                <w:rPr>
                  <w:rFonts w:ascii="仿宋_GB2312" w:eastAsia="仿宋_GB2312" w:hAnsiTheme="minorEastAsia" w:hint="eastAsia"/>
                  <w:sz w:val="24"/>
                  <w:szCs w:val="24"/>
                </w:rPr>
                <w:t>中国美术学院</w:t>
              </w:r>
            </w:hyperlink>
            <w:r w:rsidR="009404B8" w:rsidRPr="00B77F9D">
              <w:rPr>
                <w:rFonts w:ascii="仿宋_GB2312" w:eastAsia="仿宋_GB2312" w:hAnsiTheme="minorEastAsia" w:hint="eastAsia"/>
                <w:sz w:val="24"/>
                <w:szCs w:val="24"/>
              </w:rPr>
              <w:t>、</w:t>
            </w:r>
            <w:hyperlink r:id="rId12" w:history="1">
              <w:r w:rsidR="009404B8" w:rsidRPr="00B77F9D">
                <w:rPr>
                  <w:rFonts w:ascii="仿宋_GB2312" w:eastAsia="仿宋_GB2312" w:hAnsiTheme="minorEastAsia" w:hint="eastAsia"/>
                  <w:sz w:val="24"/>
                  <w:szCs w:val="24"/>
                </w:rPr>
                <w:t>中国工业设计协会</w:t>
              </w:r>
            </w:hyperlink>
            <w:r w:rsidR="009404B8" w:rsidRPr="00B77F9D">
              <w:rPr>
                <w:rFonts w:ascii="仿宋_GB2312" w:eastAsia="仿宋_GB2312" w:hAnsiTheme="minorEastAsia" w:hint="eastAsia"/>
                <w:sz w:val="24"/>
                <w:szCs w:val="24"/>
              </w:rPr>
              <w:t>、教育部高等学校工业设计专业教学指导委员会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两岸新锐设计竞赛</w:t>
            </w:r>
            <w:r w:rsidRPr="00BC60A7">
              <w:rPr>
                <w:rFonts w:ascii="宋体" w:eastAsia="宋体" w:hAnsi="宋体" w:cs="宋体" w:hint="eastAsia"/>
                <w:sz w:val="24"/>
                <w:szCs w:val="24"/>
              </w:rPr>
              <w:t>•</w:t>
            </w:r>
            <w:r w:rsidRPr="00BC60A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华灿奖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中国高等教育学会</w:t>
            </w:r>
          </w:p>
        </w:tc>
      </w:tr>
      <w:tr w:rsidR="009404B8" w:rsidRPr="00BC60A7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全国大学生广告艺术大赛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教育部高等学校</w:t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fldChar w:fldCharType="begin"/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instrText xml:space="preserve"> HYPERLINK "https://baike.sogou.com/lemma/ShowInnerLink.htm?lemmaId=53365369&amp;ss_c=ssc.citiao.link" \t "https://baike.sogou.com/_blank" </w:instrText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fldChar w:fldCharType="separate"/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新闻传播学类专业</w:t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fldChar w:fldCharType="end"/>
            </w: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教学指导委员会、中国高等教育学会广告教育专业委员会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全国大学生机械创新设计大赛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教育部高等学校机械学科教学指导委员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全国大学生机器人大赛-</w:t>
            </w:r>
            <w:proofErr w:type="spell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RoboMaster</w:t>
            </w:r>
            <w:proofErr w:type="spell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</w:t>
            </w:r>
            <w:proofErr w:type="spell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RoboCon</w:t>
            </w:r>
            <w:proofErr w:type="spell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</w:t>
            </w:r>
            <w:proofErr w:type="spell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RoboTac</w:t>
            </w:r>
            <w:proofErr w:type="spell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共青团中央、全国学联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spell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RoboCom</w:t>
            </w:r>
            <w:proofErr w:type="spell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机器人开发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者大赛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工业和信息化部人才交流中心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“中国好创意”全国数字艺术设计大赛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工业和信息化部、</w:t>
            </w: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中国电子视像行业协会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中国大学生计算机设计大赛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教育部高等学校计算机类专业教学指导委员会、教育部高等学校</w:t>
            </w:r>
            <w:r w:rsidRPr="00BC60A7"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  <w:fldChar w:fldCharType="begin"/>
            </w: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instrText xml:space="preserve"> HYPERLINK "https://baike.sogou.com/lemma/ShowInnerLink.htm?lemmaId=254377&amp;ss_c=ssc.citiao.link" \t "_blank" </w:instrText>
            </w:r>
            <w:r w:rsidRPr="00BC60A7"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  <w:fldChar w:fldCharType="separate"/>
            </w:r>
            <w:r w:rsidRPr="00BC60A7">
              <w:rPr>
                <w:rFonts w:cs="宋体"/>
                <w:kern w:val="0"/>
              </w:rPr>
              <w:t>软件工程专业</w:t>
            </w:r>
            <w:r w:rsidRPr="00BC60A7">
              <w:rPr>
                <w:rFonts w:cs="宋体"/>
                <w:kern w:val="0"/>
              </w:rPr>
              <w:fldChar w:fldCharType="end"/>
            </w: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教学指导委员会、教育部高等学校大学计算机课程教学指导委员会、教育部高等学校文科计算机基础教学</w:t>
            </w:r>
            <w:proofErr w:type="gramStart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指导分</w:t>
            </w:r>
            <w:proofErr w:type="gramEnd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委员会、</w:t>
            </w:r>
            <w:hyperlink r:id="rId13" w:tgtFrame="_blank" w:history="1">
              <w:r w:rsidRPr="00BC60A7">
                <w:rPr>
                  <w:rFonts w:cs="宋体"/>
                  <w:kern w:val="0"/>
                </w:rPr>
                <w:t>中国教育电视台</w:t>
              </w:r>
            </w:hyperlink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未来设计师•全国高校数字艺术设计大赛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工业和信息化部人才交流中心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全国三维数字化创新设计大赛（全国3D大赛）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3D动力、国家制造业信息化培训中心、</w:t>
            </w: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fldChar w:fldCharType="begin"/>
            </w: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instrText xml:space="preserve"> HYPERLINK "https://baike.sogou.com/lemma/ShowInnerLink.htm?lemmaId=73247693&amp;ss_c=ssc.citiao.link" \t "https://baike.sogou.com/_blank" </w:instrText>
            </w: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fldChar w:fldCharType="separate"/>
            </w:r>
            <w:proofErr w:type="gramStart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中国图学学会</w:t>
            </w:r>
            <w:proofErr w:type="gramEnd"/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fldChar w:fldCharType="end"/>
            </w: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、光华设计发展基金会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全国摄影艺术展览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中国摄影家协会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“伯奇杯”中国创意摄影展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中国摄影家协会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全国青年摄影大展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中国摄影家协会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全国书法新人展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中国书法家协会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北京国际电影节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国家广播电视总局、北京市人民政府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电视金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熊猫奖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国家广播电视总局</w:t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四川省人民政府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数字电影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百合奖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中央电视台电影频道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动漫金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龙奖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国家新闻出版广电总局、广东省人民政府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全国学生规范汉字书写大赛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教育部语言文字应用管理司、中国书法家协会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乌镇戏剧节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文化乌镇股份有限公司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“金刺猬”全国大学生戏剧节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北京戏剧家协会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齐越朗诵</w:t>
            </w:r>
            <w:proofErr w:type="gramEnd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艺术节暨全国大学生朗诵艺术节</w:t>
            </w:r>
          </w:p>
        </w:tc>
        <w:tc>
          <w:tcPr>
            <w:tcW w:w="1876" w:type="pct"/>
            <w:vAlign w:val="center"/>
          </w:tcPr>
          <w:p w:rsidR="009404B8" w:rsidRPr="00BC60A7" w:rsidRDefault="0072197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hyperlink r:id="rId14" w:tgtFrame="_blank" w:history="1">
              <w:r w:rsidR="009404B8" w:rsidRPr="00BC60A7">
                <w:rPr>
                  <w:rFonts w:ascii="仿宋_GB2312" w:eastAsia="仿宋_GB2312" w:hAnsiTheme="minorEastAsia" w:cs="Times New Roman" w:hint="eastAsia"/>
                  <w:sz w:val="24"/>
                  <w:szCs w:val="24"/>
                </w:rPr>
                <w:t>教育部</w:t>
              </w:r>
            </w:hyperlink>
            <w:hyperlink r:id="rId15" w:tgtFrame="_blank" w:history="1">
              <w:r w:rsidR="009404B8" w:rsidRPr="00BC60A7">
                <w:rPr>
                  <w:rFonts w:ascii="仿宋_GB2312" w:eastAsia="仿宋_GB2312" w:hAnsiTheme="minorEastAsia" w:cs="Times New Roman" w:hint="eastAsia"/>
                  <w:sz w:val="24"/>
                  <w:szCs w:val="24"/>
                </w:rPr>
                <w:t>语言文字应用</w:t>
              </w:r>
            </w:hyperlink>
            <w:r w:rsidR="009404B8"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管理司、</w:t>
            </w:r>
            <w:hyperlink r:id="rId16" w:tgtFrame="_blank" w:history="1">
              <w:r w:rsidR="009404B8" w:rsidRPr="00BC60A7">
                <w:rPr>
                  <w:rFonts w:ascii="仿宋_GB2312" w:eastAsia="仿宋_GB2312" w:hAnsiTheme="minorEastAsia" w:cs="Times New Roman" w:hint="eastAsia"/>
                  <w:sz w:val="24"/>
                  <w:szCs w:val="24"/>
                </w:rPr>
                <w:t>中国传媒大学</w:t>
              </w:r>
            </w:hyperlink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全国电视主持新星风采选拔大赛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中国电影电视艺术家协会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深圳钢琴公开赛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中共深圳市委宣传部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“孔雀奖”全国高等艺术院校声乐大赛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tabs>
                <w:tab w:val="left" w:pos="1692"/>
              </w:tabs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中国声乐家协会、中国社会音乐研究会、中国声乐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孔雀奖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 xml:space="preserve"> “敦煌杯”全国青少年民族器乐大赛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中国民族管弦乐学会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“星海杯”全国钢琴比赛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中央音乐学院、国家大剧院、北京星海钢琴集团有限公司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“珠江</w:t>
            </w:r>
            <w:proofErr w:type="gramStart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恺</w:t>
            </w:r>
            <w:proofErr w:type="gramEnd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撒堡”国际青少年钢琴大赛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中国艺术教育促进会、广州珠江钢琴集团股份有限公司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中国好声音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浙江卫视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全国高校音乐教育专业大学生基本功比赛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教育部体育卫生与艺术教育司、教育部艺术教育委员会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全国大学生电子商务“创新、创意及创业”挑战赛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教育部高等学校电子商务类专业教学指导委员会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全国大学生创新创业训练计划年会展示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教育部高等教育司</w:t>
            </w:r>
          </w:p>
        </w:tc>
      </w:tr>
      <w:tr w:rsidR="009404B8" w:rsidRPr="009404B8" w:rsidTr="00BC60A7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left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:rsidR="009404B8" w:rsidRPr="009404B8" w:rsidRDefault="009404B8" w:rsidP="00BC60A7">
            <w:pPr>
              <w:spacing w:line="560" w:lineRule="exact"/>
              <w:jc w:val="left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C类赛事</w:t>
            </w:r>
          </w:p>
        </w:tc>
      </w:tr>
      <w:tr w:rsidR="009404B8" w:rsidRPr="009404B8" w:rsidTr="00BC60A7">
        <w:tc>
          <w:tcPr>
            <w:tcW w:w="5000" w:type="pct"/>
            <w:gridSpan w:val="9"/>
            <w:tcBorders>
              <w:top w:val="single" w:sz="4" w:space="0" w:color="auto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国家级其他赛事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全国妇女书法篆刻展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中国书法家协会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“丝绸之路·瀚墨通渭”中国画、油画作品展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中国美术家协会、中共定西市委、定西市人民政府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“写意·苏州”中国画双年展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全国架上连环画展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全国漆画（厦门）作品展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中国美术家协会、厦门市人民政府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全国小幅漆画展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中国美术家协会、南昌市人民政府、江西省文联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中国（宁波北仑）青年漆画大展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全国大学生美术作品展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 xml:space="preserve">中国美术家协会、首都师范大学 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中国插图艺术展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中国美术家协会、中国文学艺术基金会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全国高校插图展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中国美术家协会插图装帧艺术委员会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插画双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插画双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年展组委会、深圳市插画协会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媒介中的插图-全国版画插图展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中国美术家协会插图装帧艺术委员会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金风车国际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青年插画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家大赛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上海市新闻出版局、中国教育出版传媒集团有限公司、环球新闻出版发展有限公司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观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澜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国际版画双年展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中国美术家协会、深圳市文学艺术界联合会、深圳市龙华新区管委会、深圳市宝安区人民政府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全国藏书票展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中国美术家协会藏书票研究会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大同雕塑双年展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中国美术家协会、中央美术学院、大同市人民政府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中国长春世界雕塑大会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长春市人民政府、文化和旅游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部艺术司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、中国雕塑学会、中国城市雕塑学会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中国郑州国际雕塑展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郑州市人民政府、中国雕塑学会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“曾竹韶雕塑艺术奖学金”优秀作品展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中央美术学院、中国美协雕塑艺委会、中国雕塑学会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全国高校毕业生优秀雕塑作品展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中国战略与管理研究会、《雕塑》杂志社、中国民族品牌委员会、中华诗词学会企业家工委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苏州·</w:t>
            </w:r>
            <w:proofErr w:type="gramStart"/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金鸡湖双年</w:t>
            </w:r>
            <w:proofErr w:type="gramEnd"/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中国城市雕塑家协会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全国国际标准舞总决赛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文化和旅游部、全国艺术职业教育委员会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CBDF中国国际标准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舞全国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总决赛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中国文学艺术界联合会、中国国标舞总会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全国艺术硕士研究生舞蹈领域培养院校作品展演活动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全国艺术专业学位研究生教育指导委员会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华东专业舞蹈比赛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华东六省一市舞蹈家协会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长三角专业舞蹈展演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上海市舞蹈家协会、江苏省舞蹈家协会、浙江省舞蹈家协会、安徽省舞蹈家协会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长三角原创流行歌曲大赛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浙江省文化和旅游厅、上海市文化和旅游局、江苏省文化和旅游厅、安徽省文化和旅游厅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全国青少年打击乐比赛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tabs>
                <w:tab w:val="left" w:pos="1692"/>
              </w:tabs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中国打击乐学会</w:t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、上海打击乐学会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中国（上海）爵士乐大赛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中国（上海）爵士乐大赛、上海音乐学院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“辽源杯”琵琶艺术展演活动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中国民族管弦乐协会琵琶专业委员会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北京国际电子音乐节电子音乐作曲比赛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中国音乐家协会电子音乐学会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施坦威国际青少年钢琴比赛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施坦威钢琴亚太有限公司主办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“卡丹萨”杯全国青少年中国钢琴作品演奏比赛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中央音乐学院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德国欧米勒（青岛）国际钢琴公开赛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由德国驻广州总领事馆、德国钢琴制造业协会、德国博兰斯勒钢琴基金会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厦门音乐季国际钢琴公开赛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厦门市思明区人民政府、中国社会艺术协会、音乐基础教育委员会、福建省音乐家协会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长江钢琴·全国高校钢琴大赛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中国高等教育学会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KAWAI亚洲钢琴大赛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柏斯音乐基金会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全国大学生语言文字能力大赛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中国语文报刊协会读写教学分会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全国高等教育美育教研与教学成果展评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中国教育学会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全国电子制作大赛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国家电教委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丰子恺儿童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图画书奖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陈一心家族基金会（香港）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信谊图书奖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信谊基金会（台湾）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中国最美的书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上海市新闻出版局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“为中国而设计”全国环境艺术设计大赛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中国当代陶瓷艺术大展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中国美术家协会、江西省文学艺术界联合会、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中国国际室内设计双年展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中国室内装饰协会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中国国际空间设计大赛（中国建筑装饰设计奖）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中国国际空间设计大赛（中国建筑装饰设计奖）组委会、中国建筑装饰协会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全国陶瓷艺术设计创新大赛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中国陶瓷工业协会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中国国际家用纺织品创意设计大赛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中国家用纺织品行业协会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中国之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星设计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艺术大奖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中国包装联合会设计委员会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红棉奖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中国工业设计协会、广州国际设计周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全国大学生工业设计大赛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教育部高等学校工业设计专业教学指导委员会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“CHINA·中国”（潮州）陶瓷艺术设计大赛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中国建筑卫生陶瓷协会、景德镇陶瓷大学、潮州市人民政府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亚洲设计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学年奖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亚洲城市与建筑联盟、亚洲设计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学年奖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组委会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中国人居环境设计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学年奖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清华大学、教育部高等学校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设计学类专业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教学指导委员会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“设计再造”绿色生活艺术创意展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中国建筑学会</w:t>
            </w:r>
          </w:p>
        </w:tc>
      </w:tr>
      <w:tr w:rsidR="009404B8" w:rsidRPr="009404B8" w:rsidTr="00BC60A7">
        <w:trPr>
          <w:trHeight w:val="606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白金创意国际平面大学生平面设计大赛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中国美术学院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“泰达杯”青年创意设计大赛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天津经济技术开发区管委会、泰达社会管理委员会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靳埭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强设计奖—全球华人设计比赛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汕头大学长江艺术与设计学院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金点设计奖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 xml:space="preserve">台湾创意设计中心 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全国大学生公共视觉优秀作品双年展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上海市城市雕塑委员会办公室、上海市普陀区人民政府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深圳国际海报节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深圳市龙岗区文体旅游局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中国国际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海报双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中国美术学院、浙江美术家协会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GDC平面设计在中国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深圳市平面设计协会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proofErr w:type="spell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Hiiibrand</w:t>
            </w:r>
            <w:proofErr w:type="spell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国际品牌标志设计大赛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proofErr w:type="spell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Hiiibrand</w:t>
            </w:r>
            <w:proofErr w:type="spell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组委会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中国国际当代金属艺术展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清华大学美术学院、中国工艺美术协会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中国拼布创意设计大赛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中国纺织服装教育学会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国际纤维艺术双年展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清华大学美术学院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中国国际纤维艺术展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中国家用纺织品行业协会、中国国际贸易促进委员会纺织行业分会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中国国际青年设计师时装作品大赛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中国服装设计师协会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中国时装设计新人奖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中国服装设计师协会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中国国际女装设计大奖赛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中国服装设计师协会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“大连杯”国际青年服装设计大赛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中国服装设计师协会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“虎门杯”国际青年设计大赛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中国服装协会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“中华杯”服装设计大赛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中国流行色协会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中国国际皮革裘皮时装设计大赛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中国皮革协会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中国风景园林学会大学生设计竞赛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中国风景园林学会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LA先锋奖：全国高校景观设计毕业作品展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北京大学建筑与景观设计学院、美丽中国建设专业委员会(CLA)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“园冶杯”大学生国际竞赛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“园冶杯”国际竞赛组委会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中国电动工具产品设计大赛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中国电器工业协会、中国电工技术学会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中国高校计算机大赛—移动应用</w:t>
            </w:r>
            <w:proofErr w:type="gramStart"/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创新赛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教育部高等学校计算机类专业教学指导委员会、全国高等学校计算机教育研究会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 xml:space="preserve">UXD Award 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国际用户体验创新大赛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UXPA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中国用户体验协会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proofErr w:type="spellStart"/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ChinaVis</w:t>
            </w:r>
            <w:proofErr w:type="spellEnd"/>
            <w:r w:rsidRPr="00BC60A7">
              <w:rPr>
                <w:rFonts w:ascii="仿宋_GB2312" w:eastAsia="仿宋_GB2312" w:hAnsiTheme="minorEastAsia" w:hint="eastAsia"/>
                <w:sz w:val="24"/>
                <w:szCs w:val="24"/>
              </w:rPr>
              <w:t>中国可视化与可视分析艺术项目设计大赛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ind w:firstLineChars="200" w:firstLine="480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bidi="ar"/>
              </w:rPr>
              <w:t>中国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bidi="ar"/>
              </w:rPr>
              <w:t>图象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bidi="ar"/>
              </w:rPr>
              <w:t>图形学学会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CAA艺术社区全民设计大赛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全国轻工职业教育教学指导委员会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“甲骨之约”甲骨文文化创意设计大赛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中国文字博物馆、守望汉字联盟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海峡两岸与港澳大学生汉字创意设计大会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国家语言文字工作委员会、教育部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北京国际首饰艺术展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北京服装学院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国际珠宝首饰设计大赛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中国珠宝玉石首饰行业协会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国际黄金首饰设计大赛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中国黄金协会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当代国际首饰与金属艺术三年展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中国美术学院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全国多媒体课件大赛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教育部教育管理信息中心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中国大学生广告艺术节学院奖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中国广告协会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中国（北京）国际大学生动画节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北京市人民政府、国家广播电影电视总局、教育部体卫艺司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中国大学生原创动画大赛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tabs>
                <w:tab w:val="left" w:pos="1692"/>
              </w:tabs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教育部高等学校动画、数字媒体专业教学指导委员会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中国大学生电视节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中国传媒大学、中国电视艺术家协会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北京大学生电影节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北京市政府、北京师范大学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中国高等戏剧教育联盟大学生戏剧展演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中国高等戏剧教育联盟总部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中国高等院校影视学会“学院奖”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中国高校影视学会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广电总局电视节目技术质量奖“金帆奖”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tabs>
                <w:tab w:val="left" w:pos="1692"/>
              </w:tabs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中国电影电视技术学会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全国电视主持新星风采选拔大赛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中国电影电视艺术家协会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BC60A7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全国大学生影视配音艺术节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中广联合会有声阅读委员会、浙江传媒学院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长三角原创短视频大赛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江苏省委网信办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、上海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市委网信办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浙江省委网信办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安徽省委网信办</w:t>
            </w:r>
            <w:proofErr w:type="gramEnd"/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中国大学生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微电影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创作大赛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共青团中央学校部、亚洲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微电影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艺术节组委会、中国电视艺术家协会、中央新影集团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（中国）山东青年</w:t>
            </w:r>
            <w:proofErr w:type="gramStart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微电影</w:t>
            </w:r>
            <w:proofErr w:type="gramEnd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山东省委宣传部、山东省文学艺术界联合会、大众报业集团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国际大学生</w:t>
            </w:r>
            <w:proofErr w:type="gramStart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微电影</w:t>
            </w:r>
            <w:proofErr w:type="gramEnd"/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盛典</w:t>
            </w:r>
          </w:p>
        </w:tc>
        <w:tc>
          <w:tcPr>
            <w:tcW w:w="1876" w:type="pct"/>
            <w:vAlign w:val="center"/>
          </w:tcPr>
          <w:p w:rsidR="009404B8" w:rsidRPr="00BC60A7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BC60A7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共青团北京市委员会、中国高等院校影视学会、中国文化信息协会、中国社会科学院新闻与传播研究所世界传媒研究中心、首都师范大学科德学院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“海峡影视季——两岸青年微电影展”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微电影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作品征集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国家广播电视总局、福建省人民政府、台湾中华广播电视节目制作商业同业公会、台湾中华演艺总工会、台北影音节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目制作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商业同业公会、台湾东森电视公司、台湾中天电视公司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“青春影像”全国大中学生原创视频作品大赛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共青团中央网络影视中心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金鸡百花电影节国际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微电影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展映优秀作品奖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中国电影家协会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中国红色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微电影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盛典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中国电影家协会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金羊奖澳门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国际电影节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澳门国际电影与多元文化发展促进会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社会主义核心价值观动画短片创作大赛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国家广播电视总局、教育部高等学校动画、数字媒体专业教学指导委员会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亚洲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微电影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艺术节金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海棠奖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中国电视艺术家协会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全国高校摄影大赛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中国摄影家协会、全国高校摄影联合会</w:t>
            </w:r>
          </w:p>
        </w:tc>
      </w:tr>
      <w:tr w:rsidR="009404B8" w:rsidRPr="009404B8" w:rsidTr="00BC60A7">
        <w:trPr>
          <w:trHeight w:val="287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“郎静山杯”中国新画意摄影双年展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中国摄影家协会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平遥国际摄影大展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平遥国际摄影大展组委会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中国国际摄影艺术展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中国摄影家协会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“徐肖冰杯”中国纪实摄影展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中国摄影家协会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浙江省桐乡市人民政府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中国丽水摄影节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中国摄影家协会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浙江省丽水市人民政府</w:t>
            </w:r>
          </w:p>
        </w:tc>
      </w:tr>
      <w:tr w:rsidR="009404B8" w:rsidRPr="009404B8" w:rsidTr="00BC60A7">
        <w:trPr>
          <w:trHeight w:val="20"/>
        </w:trPr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TOP20中国当代摄影新锐展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 xml:space="preserve">中国摄影家协会 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浙江省文学艺术界联合会</w:t>
            </w:r>
          </w:p>
        </w:tc>
      </w:tr>
      <w:tr w:rsidR="009404B8" w:rsidRPr="009404B8" w:rsidTr="00BC60A7">
        <w:tc>
          <w:tcPr>
            <w:tcW w:w="5000" w:type="pct"/>
            <w:gridSpan w:val="9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国际</w:t>
            </w:r>
            <w:proofErr w:type="gramStart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级其他</w:t>
            </w:r>
            <w:proofErr w:type="gramEnd"/>
            <w:r w:rsidRPr="009404B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赛事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安徒生(国际)艺术奖大赛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丹麦欧登塞·安徒生博物馆、丹麦王国安徒生文化艺术发展委员会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凯特·格林威奖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英国图书馆协会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凯迪克奖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美国图书馆协会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博洛尼亚国际儿童书展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博洛尼亚展览集团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大分亚洲雕刻展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大分亚洲雕刻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展执行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委员会、大分县、丰后大野市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 </w:t>
            </w:r>
            <w:r w:rsidRPr="009404B8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G-CROSS创意奖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英国工业设计委员会、美国建筑师协会、英国南安普顿大学设计学院办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DE0C00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Arial"/>
                <w:sz w:val="24"/>
                <w:szCs w:val="24"/>
                <w:shd w:val="clear" w:color="auto" w:fill="FFFFFF"/>
              </w:rPr>
            </w:pPr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New Talent Award 2021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Klimt02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DE0C00" w:rsidRDefault="009404B8" w:rsidP="00DE0C00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 xml:space="preserve"> 戴森设计奖</w:t>
            </w:r>
          </w:p>
        </w:tc>
        <w:tc>
          <w:tcPr>
            <w:tcW w:w="1876" w:type="pct"/>
            <w:vAlign w:val="center"/>
          </w:tcPr>
          <w:p w:rsidR="009404B8" w:rsidRPr="00DE0C00" w:rsidRDefault="009404B8" w:rsidP="00DE0C00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戴森技术有限公司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DE0C00" w:rsidRDefault="009404B8" w:rsidP="00DE0C00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日本国</w:t>
            </w:r>
            <w:proofErr w:type="gramStart"/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誉</w:t>
            </w:r>
            <w:proofErr w:type="gramEnd"/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设计大奖</w:t>
            </w:r>
          </w:p>
        </w:tc>
        <w:tc>
          <w:tcPr>
            <w:tcW w:w="1876" w:type="pct"/>
            <w:vAlign w:val="center"/>
          </w:tcPr>
          <w:p w:rsidR="009404B8" w:rsidRPr="00DE0C00" w:rsidRDefault="009404B8" w:rsidP="00DE0C00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日本国誉株式会社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DE0C00" w:rsidRDefault="009404B8" w:rsidP="00DE0C00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ICAD国际当代青年美术设计大赛</w:t>
            </w:r>
          </w:p>
        </w:tc>
        <w:tc>
          <w:tcPr>
            <w:tcW w:w="1876" w:type="pct"/>
            <w:vAlign w:val="center"/>
          </w:tcPr>
          <w:p w:rsidR="009404B8" w:rsidRPr="00DE0C00" w:rsidRDefault="009404B8" w:rsidP="00DE0C00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宋体" w:hint="eastAsia"/>
                <w:bCs/>
                <w:kern w:val="0"/>
                <w:sz w:val="24"/>
                <w:szCs w:val="24"/>
              </w:rPr>
              <w:t>国际青年美术设计协会、亚太青年美术设计研究院、国际当代青年美术设计大赛组委会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釜山国际环境艺术节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韩国釜山市政府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FCDA Awards国际创新艺术设计大奖赛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FCDA全球设计师联盟、2020 FCDA Awards组委会、2020 FCDA亚太设计师分会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英国 Lumen 科技艺术奖（Lumen Prize for Art &amp; Technology）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英国电脑艺术协会、纽约创意科技周、英国流明数码艺术大奖组委会等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成功设计大赛新媒体艺术类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成功设计平台、桥中</w:t>
            </w:r>
            <w:proofErr w:type="spell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CBi</w:t>
            </w:r>
            <w:proofErr w:type="spell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 China Bridge、MANA全球新媒体艺术平台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法国昂古莱姆（ANGOULEME）国际漫画节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昂古莱姆市政府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日本东京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动漫节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东京市政府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法国昂西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动漫节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昂西市政府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萨格勒布国际动画节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萨格勒布市政府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多伦多国际动画艺术节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多伦多市政府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渥太华国际动画节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加拿大电影协会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德国斯图加特国际动画电影节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德国路维希堡电影学院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白俄罗斯国际动画电影节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白俄罗斯国际动画电影节组委会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火花动画电影节（温哥华）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火花动画电影节组委会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柏林国际短片电影节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柏林国际短片电影节组委会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温哥华华语电影节“红枫叶”奖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温哥华华语电影节组委会、加拿大政府、中国驻温哥华总领事馆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罗德岛国际电影节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罗德岛电影节组委会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HOLLYSHOTS短片电影节（北美）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HOLLYSHOTS短片电影节组委会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科克国际电影节（欧洲）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科克国际电影节组委会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圣路易斯国际电影节（北美）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圣路易斯国际电影节组委会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法国克莱蒙费朗短片电影节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法国克莱蒙费朗短片电影节组委会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Buenos Aires International Film Festival (BUEIFF) 布宜诺斯艾利斯国际电影节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布宜诺斯艾利斯国际电影节组委会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2020年中韩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青年梦享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微电影展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中国人民对外友好协会、韩国CJ集团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北京电影学院国际学生影视作品展(ISFVF)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北京电影学院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爱丁堡戏剧节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爱丁堡戏剧节组委会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Denny Awards丹尼奖国际电子音乐比赛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丹佛国际科技艺术节 （DIFAT）科罗拉多丹佛大学、中国传媒大学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德国爱乐音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乐大赛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德国爱乐乐团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温哥华国际音乐比赛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加拿大钢琴家协会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鲁宾斯坦青少年国际钢琴比赛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鲁宾斯坦青少年国际钢琴比赛组委会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肖邦国际少年儿童钢琴比赛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莎法尼亚肖邦音乐中心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新加坡中新国际音乐比赛钢琴比赛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新加坡中新国际音乐比赛组委会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香港国际钢琴公开赛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香港国际音乐家协会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哈尔滨国际音乐比赛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哈尔滨市人民政府、哈尔滨音乐学院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韩国春川国际声乐比赛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hint="eastAsia"/>
                <w:sz w:val="24"/>
                <w:szCs w:val="24"/>
              </w:rPr>
              <w:t>韩国春川国际声乐比赛组织委员会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北京国际舞蹈院校芭蕾舞邀请赛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sz w:val="24"/>
                <w:szCs w:val="24"/>
              </w:rPr>
              <w:t>北京舞蹈学院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首尔国际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舞蹈比赛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首尔国际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舞蹈比赛组委会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 xml:space="preserve">上海国际芭蕾舞比赛 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上海市人民政府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 xml:space="preserve">北京国际芭蕾舞暨编舞比赛 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国家大剧院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哈姆丹国际摄影奖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迪拜哈姆丹国际摄影奖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NPC尼康摄影大赛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尼康摄影大赛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格兰特国际摄影奖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《国际摄影杂志》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 xml:space="preserve">FOAM保罗·霍夫奖（Foam Paul </w:t>
            </w:r>
            <w:proofErr w:type="spell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Huf</w:t>
            </w:r>
            <w:proofErr w:type="spell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 xml:space="preserve"> Award）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荷兰Foam摄影博物馆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亚洲数码大赛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日本东京电视台</w:t>
            </w:r>
          </w:p>
        </w:tc>
      </w:tr>
      <w:tr w:rsidR="009404B8" w:rsidRPr="009404B8" w:rsidTr="00BC60A7">
        <w:tc>
          <w:tcPr>
            <w:tcW w:w="5000" w:type="pct"/>
            <w:gridSpan w:val="9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b/>
                <w:kern w:val="0"/>
                <w:sz w:val="24"/>
                <w:szCs w:val="24"/>
              </w:rPr>
              <w:t>省级一类赛事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“紫金奖”江苏文化创意设计大赛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江苏省委宣传部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紫金文化艺术节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江苏省委宣传部等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江苏省“互联网+”大学生创新创业大赛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江苏省教育厅、江苏省委统战部、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江苏省委网信办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、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江苏省发改委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、江苏省科技厅、江苏省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工信厅等</w:t>
            </w:r>
            <w:proofErr w:type="gramEnd"/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江苏省“文华奖”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江苏文艺大奖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“挑战杯”江苏省大学生创业计划竞赛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共青团江苏省委、江苏省教育厅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江苏省大学生艺术展演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“创响江苏”大学生创业大赛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江苏省人力资源和社会保障厅、江苏省教育厅、江苏省科技厅等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江苏省大学生职业规划大赛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江苏省高校艺术教师基本功展示活动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江苏省百万技能人才技能大赛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江苏省人力资源和社会保障厅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江苏省职业学校技能大赛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江苏省教育厅等16家单位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江苏省科普公益作品大赛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省科协、江苏省委宣传部、江苏省教育厅、江苏省文化和旅游厅、江苏省广播电视局、共青团江苏省委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科学与艺术系列大展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江苏省科普美术协会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江苏省语委中华诵经典诵读、书写比赛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江苏省语言工作委员会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中国大学生创意节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上海市教育委员会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江苏省“美术奖”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江苏书法奖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江苏省文学艺术界联合会、江苏省书法家协会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江苏省文学艺术界联合会、江苏省美术家协会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江苏省中国画作品展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江苏省油画作品展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江苏省版画作品展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江苏省壁画作品展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江苏省书法篆刻作品展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江苏省书法家协会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江苏省雕塑月系列展览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江苏省文学艺术界联合会、江苏省雕塑家协会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江苏省水彩（粉）画展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江苏省文学艺术界联合会、江苏省美术家协会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江苏省青年美术作品展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江苏青年油画展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、江苏省美术家协会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江苏省青年漆画展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江南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意韵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-江苏省油画作品展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文学艺术界联合会</w:t>
            </w: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、江苏省美术家协会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傅抱石·中国画作品双年展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江苏省高校美术作品展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全国插画艺术双年展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中共深圳市委宣传部、深圳市设计之都推广办、深圳市文体旅游局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“陆俨少奖”全国中国画展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浙江画院、风雅颂扬文化传播集团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“丹青妙笔绘田园乡村”作品展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中共江苏省委宣传部、江苏省住房和城乡建设厅、江苏省教育厅、共青团江苏省委、江苏省文学艺术界联合会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江苏省紫金合唱节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hint="eastAsia"/>
                <w:sz w:val="24"/>
                <w:szCs w:val="24"/>
              </w:rPr>
              <w:t>江苏省委宣传部、江苏省音乐家协会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江苏省优秀青年舞蹈演员展演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江苏省高校音乐教育专业大学生基本功大赛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tabs>
                <w:tab w:val="left" w:pos="1692"/>
              </w:tabs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江苏省国际标准舞公开赛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江苏省舞蹈家协会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江苏钢琴公开赛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江苏省音乐家协会钢琴学会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江苏省高校设计作品展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江苏高校“中国文字创意设计大赛”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江苏省语言文字工作委员会、江苏省教育厅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中国好创意暨全国数字艺术设计大赛江苏省级赛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中国电子视像行业协会、 中国好创意暨全国数字艺术设计大赛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江苏赛区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proofErr w:type="spell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RoboCom</w:t>
            </w:r>
            <w:proofErr w:type="spell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机器人开发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者大赛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CAIA数字创意赛道江苏省赛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proofErr w:type="spell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RoboCom</w:t>
            </w:r>
            <w:proofErr w:type="spell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机器人开发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者大赛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江苏省赛区组委会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DE0C00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景德镇国际陶瓷艺术双年展</w:t>
            </w:r>
          </w:p>
        </w:tc>
        <w:tc>
          <w:tcPr>
            <w:tcW w:w="1876" w:type="pct"/>
            <w:vAlign w:val="center"/>
          </w:tcPr>
          <w:p w:rsidR="009404B8" w:rsidRPr="00DE0C00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景德镇市人民政府、景德镇陶瓷大学、中国对外文化集团有限公司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DE0C00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安徽省工业设计大赛</w:t>
            </w:r>
          </w:p>
        </w:tc>
        <w:tc>
          <w:tcPr>
            <w:tcW w:w="1876" w:type="pct"/>
            <w:vAlign w:val="center"/>
          </w:tcPr>
          <w:p w:rsidR="009404B8" w:rsidRPr="00DE0C00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DE0C00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安徽省经济和信息化委员会、安徽省教育厅、安徽省科学技术厅、安徽省人力资源和社会保障厅、安徽省文化与旅游厅、共青团安徽省委、安徽省文化发展改革办公室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江苏戏剧奖</w:t>
            </w:r>
            <w:r w:rsidRPr="009404B8">
              <w:rPr>
                <w:rFonts w:ascii="宋体" w:eastAsia="宋体" w:hAnsi="宋体" w:cs="宋体" w:hint="eastAsia"/>
                <w:sz w:val="24"/>
                <w:szCs w:val="24"/>
              </w:rPr>
              <w:t>•</w:t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红梅奖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江苏省文学艺术界联合会、江苏省戏剧协会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江苏省戏剧小戏小品展演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江苏省电视“金凤凰奖”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江苏省文学艺术界联合会、江苏省广电总台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江苏省网络短片大赛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江苏省广播电影电视局、江苏省广播电视总台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 xml:space="preserve"> “领航杯”江苏省大学生信息技术应用能力比赛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江苏省教育信息化中心、江苏省电化教育馆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摄影艺术展览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江苏文学艺术界联合会、江苏摄影家协会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科普摄影大赛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江苏省宣传部、江苏省教育厅、江苏省科协传播中心、江苏省科普服务中心、江苏省科学传播中心、江苏省科教电影电视协会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路之遥杯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”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江苏省大学生摄影大赛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江苏省摄影家协会；江苏省高等教育学会摄影专业教育委员会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Meta-NING摄影艺术展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江苏省摄影家协会、江苏省高等教育学会摄影专业研究委员会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各省级电视台主持人大赛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  <w:lang w:eastAsia="zh-Hans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各省级卫视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齐鲁国际动漫游戏大赛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  <w:shd w:val="clear" w:color="auto" w:fill="FFFFFF"/>
                <w:lang w:eastAsia="zh-Hans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山东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省</w:t>
            </w:r>
            <w:r w:rsidRPr="009404B8">
              <w:rPr>
                <w:rFonts w:ascii="仿宋_GB2312" w:eastAsia="仿宋_GB2312" w:hAnsiTheme="minorEastAsia" w:hint="eastAsia"/>
                <w:sz w:val="24"/>
                <w:szCs w:val="24"/>
                <w:lang w:eastAsia="zh-Hans"/>
              </w:rPr>
              <w:t>科协、山东省工业和信息化厅、山东省人力资源和社会保障厅、山东省发改委、山东省教育厅、共青团山东省委</w:t>
            </w:r>
          </w:p>
        </w:tc>
      </w:tr>
      <w:tr w:rsidR="009404B8" w:rsidRPr="009404B8" w:rsidTr="00BC60A7"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left"/>
              <w:rPr>
                <w:rFonts w:ascii="仿宋_GB2312" w:eastAsia="仿宋_GB2312" w:hAnsiTheme="minorEastAsia" w:cs="宋体"/>
                <w:b/>
                <w:sz w:val="24"/>
                <w:szCs w:val="24"/>
              </w:rPr>
            </w:pPr>
          </w:p>
          <w:p w:rsidR="009404B8" w:rsidRPr="009404B8" w:rsidRDefault="009404B8" w:rsidP="00BC60A7">
            <w:pPr>
              <w:spacing w:line="560" w:lineRule="exact"/>
              <w:jc w:val="left"/>
              <w:rPr>
                <w:rFonts w:ascii="仿宋_GB2312" w:eastAsia="仿宋_GB2312" w:hAnsiTheme="minorEastAsia" w:cs="宋体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b/>
                <w:sz w:val="24"/>
                <w:szCs w:val="24"/>
              </w:rPr>
              <w:t>D类赛事</w:t>
            </w:r>
          </w:p>
        </w:tc>
      </w:tr>
      <w:tr w:rsidR="009404B8" w:rsidRPr="009404B8" w:rsidTr="00BC60A7">
        <w:tc>
          <w:tcPr>
            <w:tcW w:w="5000" w:type="pct"/>
            <w:gridSpan w:val="9"/>
            <w:tcBorders>
              <w:top w:val="single" w:sz="4" w:space="0" w:color="auto"/>
            </w:tcBorders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b/>
                <w:kern w:val="0"/>
                <w:sz w:val="24"/>
                <w:szCs w:val="24"/>
              </w:rPr>
              <w:t>省级二类赛事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江苏省新人美术作品展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江苏省青年美术家协会年度大展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江苏省青年美术家协会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江苏省青年美术家协会新人作品展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江苏省青年美术家协会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江苏年画·连环画·宣传画·漫画·插画作品展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江苏省美术家协会、苏州市文学艺术界联合会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江苏省书法新人作品展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江苏省书法家协会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上海小幅漆画展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上海市美术家协会漆画工作委员会、华东师范大学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江苏之</w:t>
            </w:r>
            <w:proofErr w:type="gramStart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星艺术</w:t>
            </w:r>
            <w:proofErr w:type="gramEnd"/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江苏省包装技术协会设计委员会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Courier New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Courier New" w:hint="eastAsia"/>
                <w:kern w:val="0"/>
                <w:sz w:val="24"/>
                <w:szCs w:val="24"/>
              </w:rPr>
              <w:t>江苏省工艺美术艺术设计大赛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江苏省工艺美术学会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Cs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Cs/>
                <w:sz w:val="24"/>
                <w:szCs w:val="24"/>
              </w:rPr>
              <w:t>“艺融杯”江苏艺术设计大赛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江苏省工艺美术行业协会、江苏省工艺美术学会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江苏工业设计年度奖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江苏省工业设计学会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江苏工业设计学会工业设计科技成果奖新锐成果奖项(优秀毕业设计作品)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江苏省工业设计学会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江苏省室内设计大奖赛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江苏省人力资源和社会保障厅、江苏省总工会、江苏省室内装饰协会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海峡两岸青年文化创意设计大赛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江苏省青年联合会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国际纹样创意设计大赛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杭州市人民政府、中国美术学院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南京国际和平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海报双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年展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江苏省对外文化交流协会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江苏艺术设计大赛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江苏省工艺美术行业协会、江苏省工艺美术协会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中国学生玻璃作品展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秦皇岛市旅游和文化广电局、清华大学美术学院、中国工艺美术协会玻璃专业委员会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“字酷”国际文字艺术设计展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江苏省教育厅、南京艺术学院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江苏省服装院校学生设计大赛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江苏省服装协会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全国大学生元宇宙设计大赛暨第五届江苏省大学生虚拟（增强）现实技术大赛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江苏省计算机学会、江苏省人工智能学会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江苏省优秀广告作品大赛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江苏省广告协会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中国大学生计算机设计大赛江苏省赛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江苏省计算机学会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立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达设计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奖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上海市艺术教育委员会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Cs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Cs/>
                <w:sz w:val="24"/>
                <w:szCs w:val="24"/>
              </w:rPr>
              <w:t>香港当代设计奖</w:t>
            </w:r>
          </w:p>
        </w:tc>
        <w:tc>
          <w:tcPr>
            <w:tcW w:w="1876" w:type="pct"/>
            <w:vAlign w:val="center"/>
          </w:tcPr>
          <w:p w:rsidR="009404B8" w:rsidRPr="009404B8" w:rsidRDefault="0072197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hyperlink r:id="rId17" w:tgtFrame="_blank" w:history="1">
              <w:r w:rsidR="009404B8" w:rsidRPr="009404B8">
                <w:rPr>
                  <w:rStyle w:val="a9"/>
                  <w:rFonts w:ascii="仿宋_GB2312" w:eastAsia="仿宋_GB2312" w:hAnsiTheme="minorEastAsia" w:cs="Times New Roman" w:hint="eastAsia"/>
                  <w:color w:val="auto"/>
                  <w:sz w:val="24"/>
                  <w:szCs w:val="24"/>
                  <w:u w:val="none"/>
                </w:rPr>
                <w:t>香港艺术发展局</w:t>
              </w:r>
            </w:hyperlink>
            <w:r w:rsidR="009404B8"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、香港美术设计协会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中国高校生肖设计大赛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山东工艺美术学院、人民日报社《讽刺与幽默》报、山东省漫画家协会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江苏省新人新作歌舞大赛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“小茉莉花奖”江苏省青少年音乐比赛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江苏省音乐家协会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江苏省竹笛大赛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江苏省音乐家协会竹笛学会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“琴声杯”江苏管乐大赛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江苏省管乐学会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“美林之声”声乐大赛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江苏省声乐学会、扬州市流行音乐学会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江苏流行音乐“新莺奖”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江苏省流行音乐学会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江苏省大学生流行音乐大赛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共青团江苏省委、江苏省学生联合会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江苏数字音乐与声音设计大赛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江苏省音乐家协会、南京艺术学院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江苏省打击乐艺术节展演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江苏省打击乐协会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中国（宁波）大运河国际钢琴艺术节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暨郎朗杯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钢琴大赛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浙江省委宣传部、浙江省文化和旅游厅、宁波市人民政府主办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江苏省电子音乐大赛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江苏省音乐家协会、南京艺术学院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江苏省少数民族优秀舞蹈展演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江苏省民族与宗教事物委员会、江苏省文化和旅游厅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江苏省都市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圈体育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舞蹈公开赛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南京市体育局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39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 xml:space="preserve"> “情耀中华”全国艺术教育成果展演江苏选区评选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全国艺术教育成果展演江苏组委会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全国大学生创意策划大赛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中国艺术管理教育学会、云南艺术学院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江苏省大学生“乡村振兴”文化创意作品大赛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共青团江苏省委、江苏省学生联合会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综合类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全国艺术管理实践教育成果展示大赛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中国艺术学理论学会艺术管理专业委员会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“水杉杯”江苏省大学生戏剧展演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江苏省戏剧家协会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上海大学生电视节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上海电视节组委会、华东师范大学、上海视觉艺术学院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“新光奖”中国西安国际原创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动漫大赛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西安国际原创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动漫大赛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组委会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山东省大学生国际动漫游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戏大赛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山东省科学技术协会、山东省教育厅、共青团山东省委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金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海豚奖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厦门国际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动漫节</w:t>
            </w:r>
            <w:proofErr w:type="gramEnd"/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厦门市政府主办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48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江苏省社会主义核心观动画短片创作大赛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江苏省广播电视局、江苏省教育厅</w:t>
            </w:r>
          </w:p>
        </w:tc>
      </w:tr>
      <w:tr w:rsidR="009404B8" w:rsidRPr="009404B8" w:rsidTr="00BC60A7">
        <w:tc>
          <w:tcPr>
            <w:tcW w:w="5000" w:type="pct"/>
            <w:gridSpan w:val="9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市级（校级）一类赛事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展演赛事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b/>
                <w:sz w:val="24"/>
                <w:szCs w:val="24"/>
              </w:rPr>
              <w:t>主办单位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中国吉祥文化创意设计大赛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中共泰州市委宣传部、泰州市哲学社会科学届联合会、泰州市文化广电新闻出版局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美术类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“齐白石”大学生文化艺术节美术作品（中国画）展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海南科技大学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南京云锦创意大赛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="Arial" w:cs="Arial" w:hint="eastAsia"/>
                <w:sz w:val="19"/>
                <w:szCs w:val="19"/>
                <w:shd w:val="clear" w:color="auto" w:fill="FFFFFF"/>
              </w:rPr>
              <w:t> </w:t>
            </w: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南京市文化广电新闻出版局、南京市文学艺术界联合会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“金梧桐”公益广告创意设计大赛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南京市市场监管局、市文明办、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市网信办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、市文化和旅游局（市广电局）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和平城市国际邮品设计大赛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侵华日军南京大屠杀遇难同胞纪念馆 南京市邮政公司 南京艺术学院设计学院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红色创意设计大赛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江西省赣西市委宣传部、中共兴国县委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设计类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全国高校创新竹日用品大赛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宜宾市人民政府、工业和信息化</w:t>
            </w:r>
            <w:proofErr w:type="gramStart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部工业</w:t>
            </w:r>
            <w:proofErr w:type="gramEnd"/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文化发展中心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金鸡湖钢琴比赛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苏州交响乐团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音乐舞蹈类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郎朗深圳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福田国际钢琴艺术节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 w:cs="宋体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中共深圳市福田区委宣传部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南京市</w:t>
            </w:r>
            <w:proofErr w:type="gramStart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微电影</w:t>
            </w:r>
            <w:proofErr w:type="gramEnd"/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创作大赛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南京市文学艺术界联合会</w:t>
            </w:r>
          </w:p>
        </w:tc>
      </w:tr>
      <w:tr w:rsidR="009404B8" w:rsidRPr="009404B8" w:rsidTr="00BC60A7">
        <w:tc>
          <w:tcPr>
            <w:tcW w:w="444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9404B8" w:rsidRPr="009404B8" w:rsidRDefault="009404B8" w:rsidP="00BC60A7">
            <w:pPr>
              <w:spacing w:line="56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影视传媒类</w:t>
            </w:r>
          </w:p>
        </w:tc>
        <w:tc>
          <w:tcPr>
            <w:tcW w:w="2165" w:type="pct"/>
            <w:gridSpan w:val="6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北京电影学院动画“学院奖”</w:t>
            </w:r>
          </w:p>
        </w:tc>
        <w:tc>
          <w:tcPr>
            <w:tcW w:w="1876" w:type="pct"/>
            <w:vAlign w:val="center"/>
          </w:tcPr>
          <w:p w:rsidR="009404B8" w:rsidRPr="009404B8" w:rsidRDefault="009404B8" w:rsidP="00BC60A7">
            <w:pPr>
              <w:widowControl/>
              <w:spacing w:line="56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04B8">
              <w:rPr>
                <w:rFonts w:ascii="仿宋_GB2312" w:eastAsia="仿宋_GB2312" w:hAnsiTheme="minorEastAsia" w:hint="eastAsia"/>
                <w:sz w:val="24"/>
                <w:szCs w:val="24"/>
              </w:rPr>
              <w:t>北京电影学院</w:t>
            </w:r>
          </w:p>
        </w:tc>
      </w:tr>
    </w:tbl>
    <w:p w:rsidR="009404B8" w:rsidRPr="009404B8" w:rsidRDefault="009404B8" w:rsidP="00BC60A7">
      <w:pPr>
        <w:widowControl/>
        <w:spacing w:line="560" w:lineRule="exact"/>
        <w:jc w:val="left"/>
        <w:rPr>
          <w:rFonts w:ascii="仿宋_GB2312" w:eastAsia="仿宋_GB2312" w:hAnsi="Cambria" w:cs="Times New Roman"/>
          <w:b/>
          <w:bCs/>
          <w:sz w:val="32"/>
          <w:szCs w:val="32"/>
        </w:rPr>
      </w:pPr>
    </w:p>
    <w:sectPr w:rsidR="009404B8" w:rsidRPr="009404B8">
      <w:pgSz w:w="11906" w:h="16838"/>
      <w:pgMar w:top="1276" w:right="1274" w:bottom="993" w:left="12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24993B"/>
    <w:multiLevelType w:val="singleLevel"/>
    <w:tmpl w:val="E52499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6B"/>
    <w:rsid w:val="0000196C"/>
    <w:rsid w:val="00012B99"/>
    <w:rsid w:val="000170E9"/>
    <w:rsid w:val="00026E28"/>
    <w:rsid w:val="00190A2D"/>
    <w:rsid w:val="001B152B"/>
    <w:rsid w:val="001C5DCB"/>
    <w:rsid w:val="001D7603"/>
    <w:rsid w:val="001E6B4D"/>
    <w:rsid w:val="001F33AC"/>
    <w:rsid w:val="0020462B"/>
    <w:rsid w:val="00272024"/>
    <w:rsid w:val="002B1749"/>
    <w:rsid w:val="002D5413"/>
    <w:rsid w:val="002F2C66"/>
    <w:rsid w:val="00323064"/>
    <w:rsid w:val="003630DB"/>
    <w:rsid w:val="003A755D"/>
    <w:rsid w:val="003B6C88"/>
    <w:rsid w:val="003D0223"/>
    <w:rsid w:val="003D5A27"/>
    <w:rsid w:val="004446CF"/>
    <w:rsid w:val="00474E0C"/>
    <w:rsid w:val="00481CAE"/>
    <w:rsid w:val="004C1110"/>
    <w:rsid w:val="005072DF"/>
    <w:rsid w:val="00511F29"/>
    <w:rsid w:val="00520AE0"/>
    <w:rsid w:val="005472F3"/>
    <w:rsid w:val="0055629A"/>
    <w:rsid w:val="005C5782"/>
    <w:rsid w:val="005F4031"/>
    <w:rsid w:val="006A7E45"/>
    <w:rsid w:val="006B0F67"/>
    <w:rsid w:val="00721978"/>
    <w:rsid w:val="00722F3E"/>
    <w:rsid w:val="0073470F"/>
    <w:rsid w:val="00792964"/>
    <w:rsid w:val="007D6CEE"/>
    <w:rsid w:val="007E77EA"/>
    <w:rsid w:val="008418DC"/>
    <w:rsid w:val="00852134"/>
    <w:rsid w:val="008E43A5"/>
    <w:rsid w:val="009225C1"/>
    <w:rsid w:val="00934B53"/>
    <w:rsid w:val="009404B8"/>
    <w:rsid w:val="00967255"/>
    <w:rsid w:val="00983FA7"/>
    <w:rsid w:val="009E7A65"/>
    <w:rsid w:val="00A12276"/>
    <w:rsid w:val="00A35FE1"/>
    <w:rsid w:val="00A81F25"/>
    <w:rsid w:val="00AE497A"/>
    <w:rsid w:val="00AF156B"/>
    <w:rsid w:val="00B02EEC"/>
    <w:rsid w:val="00B56238"/>
    <w:rsid w:val="00B7310E"/>
    <w:rsid w:val="00B77F9D"/>
    <w:rsid w:val="00BB1FAC"/>
    <w:rsid w:val="00BC60A7"/>
    <w:rsid w:val="00C12D4D"/>
    <w:rsid w:val="00C5332A"/>
    <w:rsid w:val="00C612CB"/>
    <w:rsid w:val="00C94119"/>
    <w:rsid w:val="00CE6AD5"/>
    <w:rsid w:val="00D3034F"/>
    <w:rsid w:val="00D41259"/>
    <w:rsid w:val="00DC3080"/>
    <w:rsid w:val="00DD3157"/>
    <w:rsid w:val="00DE0C00"/>
    <w:rsid w:val="00DE3AA7"/>
    <w:rsid w:val="00E04C40"/>
    <w:rsid w:val="00E07F7B"/>
    <w:rsid w:val="00E11766"/>
    <w:rsid w:val="00E13891"/>
    <w:rsid w:val="00E7035B"/>
    <w:rsid w:val="00F562E4"/>
    <w:rsid w:val="037221DC"/>
    <w:rsid w:val="07192F79"/>
    <w:rsid w:val="07560886"/>
    <w:rsid w:val="10615025"/>
    <w:rsid w:val="16FE6FC1"/>
    <w:rsid w:val="1814598F"/>
    <w:rsid w:val="36126603"/>
    <w:rsid w:val="3F12117D"/>
    <w:rsid w:val="4B1A3497"/>
    <w:rsid w:val="539D4A6A"/>
    <w:rsid w:val="56E476C9"/>
    <w:rsid w:val="58830961"/>
    <w:rsid w:val="598A6801"/>
    <w:rsid w:val="5FA9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楷体" w:eastAsia="楷体" w:hAnsi="楷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&#20013;&#22269;&#24037;&#19994;&#35774;&#35745;&#21327;&#20250;/1682284" TargetMode="External"/><Relationship Id="rId13" Type="http://schemas.openxmlformats.org/officeDocument/2006/relationships/hyperlink" Target="https://baike.sogou.com/lemma/ShowInnerLink.htm?lemmaId=727907&amp;ss_c=ssc.citiao.li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aike.sogou.com/lemma/ShowInnerLink.htm?lemmaId=82123734&amp;ss_c=ssc.citiao.link" TargetMode="External"/><Relationship Id="rId12" Type="http://schemas.openxmlformats.org/officeDocument/2006/relationships/hyperlink" Target="https://baike.baidu.com/item/&#20013;&#22269;&#24037;&#19994;&#35774;&#35745;&#21327;&#20250;/1682284" TargetMode="External"/><Relationship Id="rId17" Type="http://schemas.openxmlformats.org/officeDocument/2006/relationships/hyperlink" Target="https://baike.sogou.com/lemma/ShowInnerLink.htm?lemmaId=73290844&amp;ss_c=ssc.citiao.lin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ike.sogou.com/lemma/ShowInnerLink.htm?lemmaId=51174&amp;ss_c=ssc.citiao.lin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ike.baidu.com/item/&#20013;&#22269;&#32654;&#26415;&#23398;&#38498;/26720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ike.sogou.com/lemma/ShowInnerLink.htm?lemmaId=56152360&amp;ss_c=ssc.citiao.link" TargetMode="External"/><Relationship Id="rId10" Type="http://schemas.openxmlformats.org/officeDocument/2006/relationships/hyperlink" Target="https://baike.baidu.com/item/&#22269;&#21153;&#38498;&#21457;&#23637;&#30740;&#31350;&#20013;&#24515;/109254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aike.baidu.com/item/&#21271;&#20140;&#24037;&#19994;&#35774;&#35745;&#20419;&#36827;&#20013;&#24515;/2900675" TargetMode="External"/><Relationship Id="rId14" Type="http://schemas.openxmlformats.org/officeDocument/2006/relationships/hyperlink" Target="http://baike.sogou.com/lemma/ShowInnerLink.htm?lemmaId=143807&amp;ss_c=ssc.citiao.link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34</Pages>
  <Words>2834</Words>
  <Characters>16157</Characters>
  <Application>Microsoft Office Word</Application>
  <DocSecurity>0</DocSecurity>
  <Lines>134</Lines>
  <Paragraphs>37</Paragraphs>
  <ScaleCrop>false</ScaleCrop>
  <Company>Hewlett-Packard Company</Company>
  <LinksUpToDate>false</LinksUpToDate>
  <CharactersWithSpaces>18954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lrg</dc:creator>
  <cp:lastModifiedBy>戴韵</cp:lastModifiedBy>
  <cp:revision>34</cp:revision>
  <cp:lastPrinted>2022-03-18T14:39:00Z</cp:lastPrinted>
  <dcterms:created xsi:type="dcterms:W3CDTF">2022-03-28T09:17:00Z</dcterms:created>
  <dcterms:modified xsi:type="dcterms:W3CDTF">2022-06-13T03:16:00Z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ED88D25BE6DA4D75AE1E8A6807D881A9</vt:lpwstr>
  </property>
</Properties>
</file>